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2F79FFB9"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096E14">
        <w:rPr>
          <w:rFonts w:ascii="Times New Roman" w:eastAsia="Times New Roman" w:hAnsi="Times New Roman" w:cs="Times New Roman"/>
          <w:sz w:val="24"/>
          <w:szCs w:val="24"/>
        </w:rPr>
        <w:t xml:space="preserve">Scott </w:t>
      </w:r>
      <w:r w:rsidR="009935E4">
        <w:rPr>
          <w:rFonts w:ascii="Times New Roman" w:eastAsia="Times New Roman" w:hAnsi="Times New Roman" w:cs="Times New Roman"/>
          <w:sz w:val="24"/>
          <w:szCs w:val="24"/>
        </w:rPr>
        <w:t>Miles</w:t>
      </w:r>
      <w:r w:rsidR="00072971">
        <w:rPr>
          <w:rFonts w:ascii="Times New Roman" w:eastAsia="Times New Roman" w:hAnsi="Times New Roman" w:cs="Times New Roman"/>
          <w:sz w:val="24"/>
          <w:szCs w:val="24"/>
        </w:rPr>
        <w:t>, Attorney</w:t>
      </w:r>
      <w:r w:rsidR="00B52332">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0A23CB4" w14:textId="626C90D5" w:rsidR="0013404A"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400321">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400321">
        <w:rPr>
          <w:rFonts w:ascii="Times New Roman" w:eastAsia="Times New Roman" w:hAnsi="Times New Roman" w:cs="Times New Roman"/>
          <w:sz w:val="24"/>
          <w:szCs w:val="24"/>
        </w:rPr>
        <w:t>ednarski III</w:t>
      </w:r>
      <w:r w:rsidR="00072971">
        <w:rPr>
          <w:rFonts w:ascii="Times New Roman" w:eastAsia="Times New Roman" w:hAnsi="Times New Roman" w:cs="Times New Roman"/>
          <w:sz w:val="24"/>
          <w:szCs w:val="24"/>
        </w:rPr>
        <w:t>, Financial Analyst</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533F1A8D"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9A4BFE">
        <w:rPr>
          <w:rFonts w:ascii="Times New Roman" w:eastAsia="Times New Roman" w:hAnsi="Times New Roman" w:cs="Times New Roman"/>
          <w:sz w:val="24"/>
          <w:szCs w:val="24"/>
        </w:rPr>
        <w:t>April 1</w:t>
      </w:r>
      <w:r w:rsidRPr="003E3FA5">
        <w:rPr>
          <w:rFonts w:ascii="Times New Roman" w:eastAsia="Times New Roman" w:hAnsi="Times New Roman" w:cs="Times New Roman"/>
          <w:sz w:val="24"/>
          <w:szCs w:val="24"/>
        </w:rPr>
        <w:t>, 202</w:t>
      </w:r>
      <w:r w:rsidR="00400321">
        <w:rPr>
          <w:rFonts w:ascii="Times New Roman" w:eastAsia="Times New Roman" w:hAnsi="Times New Roman" w:cs="Times New Roman"/>
          <w:sz w:val="24"/>
          <w:szCs w:val="24"/>
        </w:rPr>
        <w:t>4</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2430D8CD" w14:textId="14E2D452" w:rsidR="003E3FA5" w:rsidRPr="003E3FA5" w:rsidRDefault="003E3FA5" w:rsidP="005E14A2">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CE7231" w:rsidRPr="00CE7231">
        <w:rPr>
          <w:rFonts w:ascii="Times New Roman" w:eastAsia="Times New Roman" w:hAnsi="Times New Roman" w:cs="Times New Roman"/>
          <w:bCs/>
          <w:sz w:val="24"/>
          <w:szCs w:val="24"/>
        </w:rPr>
        <w:t xml:space="preserve">Docket No. </w:t>
      </w:r>
      <w:r w:rsidR="0013404A">
        <w:rPr>
          <w:rFonts w:ascii="Times New Roman" w:eastAsia="Times New Roman" w:hAnsi="Times New Roman" w:cs="Times New Roman"/>
          <w:bCs/>
          <w:iCs/>
          <w:sz w:val="24"/>
          <w:szCs w:val="24"/>
        </w:rPr>
        <w:t>5</w:t>
      </w:r>
      <w:r w:rsidR="008C23CD">
        <w:rPr>
          <w:rFonts w:ascii="Times New Roman" w:eastAsia="Times New Roman" w:hAnsi="Times New Roman" w:cs="Times New Roman"/>
          <w:bCs/>
          <w:iCs/>
          <w:sz w:val="24"/>
          <w:szCs w:val="24"/>
        </w:rPr>
        <w:t>53</w:t>
      </w:r>
      <w:r w:rsidR="008909B4">
        <w:rPr>
          <w:rFonts w:ascii="Times New Roman" w:eastAsia="Times New Roman" w:hAnsi="Times New Roman" w:cs="Times New Roman"/>
          <w:bCs/>
          <w:iCs/>
          <w:sz w:val="24"/>
          <w:szCs w:val="24"/>
        </w:rPr>
        <w:t>36</w:t>
      </w:r>
      <w:r w:rsidR="00CE7231" w:rsidRPr="00CE7231">
        <w:rPr>
          <w:rFonts w:ascii="Times New Roman" w:eastAsia="Times New Roman" w:hAnsi="Times New Roman" w:cs="Times New Roman"/>
          <w:bCs/>
          <w:i/>
          <w:iCs/>
          <w:sz w:val="24"/>
          <w:szCs w:val="24"/>
        </w:rPr>
        <w:t xml:space="preserve"> – </w:t>
      </w:r>
      <w:bookmarkEnd w:id="0"/>
      <w:r w:rsidR="000D4E7E" w:rsidRPr="000D4E7E">
        <w:rPr>
          <w:rFonts w:ascii="Times New Roman" w:eastAsia="Times New Roman" w:hAnsi="Times New Roman" w:cs="Times New Roman"/>
          <w:bCs/>
          <w:i/>
          <w:iCs/>
          <w:sz w:val="24"/>
          <w:szCs w:val="24"/>
        </w:rPr>
        <w:t>Application of SP Utility Company, Inc. and Albury Manor Utility Company, Inc. for Sale, Transfer, or Merger of Facilities and Certificate Rights in Harris County</w:t>
      </w:r>
    </w:p>
    <w:p w14:paraId="32CA6FA8" w14:textId="77777777" w:rsidR="00734218" w:rsidRDefault="00734218" w:rsidP="004937E2">
      <w:pPr>
        <w:spacing w:after="0" w:line="240" w:lineRule="auto"/>
        <w:jc w:val="both"/>
        <w:rPr>
          <w:rFonts w:ascii="Times New Roman" w:eastAsia="Times New Roman" w:hAnsi="Times New Roman" w:cs="Times New Roman"/>
          <w:sz w:val="24"/>
          <w:szCs w:val="24"/>
        </w:rPr>
      </w:pPr>
    </w:p>
    <w:p w14:paraId="0AE92BB6" w14:textId="36EA6A37" w:rsidR="00EE483E" w:rsidRDefault="00EE483E" w:rsidP="007C0FAE">
      <w:pPr>
        <w:widowControl w:val="0"/>
        <w:spacing w:after="120" w:line="360" w:lineRule="auto"/>
        <w:ind w:firstLine="720"/>
        <w:jc w:val="both"/>
        <w:rPr>
          <w:rFonts w:ascii="Times New Roman" w:eastAsia="Times New Roman" w:hAnsi="Times New Roman" w:cs="Times New Roman"/>
          <w:sz w:val="24"/>
          <w:szCs w:val="24"/>
        </w:rPr>
      </w:pPr>
      <w:r w:rsidRPr="00EE483E">
        <w:rPr>
          <w:rFonts w:ascii="Times New Roman" w:eastAsia="Times New Roman" w:hAnsi="Times New Roman" w:cs="Times New Roman"/>
          <w:sz w:val="24"/>
          <w:szCs w:val="24"/>
        </w:rPr>
        <w:t xml:space="preserve">On August 8, 2023, SP Utility Company, Inc. (SP Utility) and Albury Manor Utility Company, Inc. filed an application for the sale and transfer of facilities and certificate rights in Harris County under the provisions of Texas Water Code § 13.301 and 16 Texas Administrative Code </w:t>
      </w:r>
      <w:r w:rsidR="00261BF5">
        <w:rPr>
          <w:rFonts w:ascii="Times New Roman" w:eastAsia="Times New Roman" w:hAnsi="Times New Roman" w:cs="Times New Roman"/>
          <w:sz w:val="24"/>
          <w:szCs w:val="24"/>
        </w:rPr>
        <w:t xml:space="preserve">(TAC) </w:t>
      </w:r>
      <w:r w:rsidRPr="00EE483E">
        <w:rPr>
          <w:rFonts w:ascii="Times New Roman" w:eastAsia="Times New Roman" w:hAnsi="Times New Roman" w:cs="Times New Roman"/>
          <w:sz w:val="24"/>
          <w:szCs w:val="24"/>
        </w:rPr>
        <w:t xml:space="preserve">§ 24.239. </w:t>
      </w:r>
    </w:p>
    <w:p w14:paraId="41C7DCC5" w14:textId="56E54697" w:rsidR="00376E5F" w:rsidRPr="00973928" w:rsidRDefault="00376E5F" w:rsidP="007C0FAE">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TAC § 24.11.</w:t>
      </w:r>
      <w:r w:rsidR="00CC6F52">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 </w:t>
      </w:r>
      <w:r w:rsidR="00776998">
        <w:rPr>
          <w:rFonts w:ascii="Times New Roman" w:eastAsia="Times New Roman" w:hAnsi="Times New Roman" w:cs="Times New Roman"/>
          <w:sz w:val="24"/>
          <w:szCs w:val="24"/>
        </w:rPr>
        <w:t>SP Utility</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must demonstrate that it meets one of the five leverage tests under 16 TAC § 24.11(e)(2)</w:t>
      </w:r>
      <w:r w:rsidR="00261BF5">
        <w:rPr>
          <w:rFonts w:ascii="Times New Roman" w:eastAsia="Times New Roman" w:hAnsi="Times New Roman" w:cs="Times New Roman"/>
          <w:sz w:val="24"/>
          <w:szCs w:val="24"/>
        </w:rPr>
        <w:t>,</w:t>
      </w:r>
      <w:r w:rsidRPr="00973928">
        <w:rPr>
          <w:rFonts w:ascii="Times New Roman" w:eastAsia="Times New Roman" w:hAnsi="Times New Roman" w:cs="Times New Roman"/>
          <w:sz w:val="24"/>
          <w:szCs w:val="24"/>
        </w:rPr>
        <w:t xml:space="preserve"> as well as the operations test under 16 TAC § 24.11(e)(3).  </w:t>
      </w:r>
    </w:p>
    <w:p w14:paraId="161014E3" w14:textId="0BFC542D" w:rsidR="00376E5F" w:rsidRPr="00E654EC" w:rsidRDefault="00376E5F" w:rsidP="007C0FAE">
      <w:pPr>
        <w:widowControl w:val="0"/>
        <w:spacing w:after="120" w:line="360" w:lineRule="auto"/>
        <w:jc w:val="both"/>
        <w:rPr>
          <w:rFonts w:ascii="Times New Roman" w:eastAsia="Times New Roman" w:hAnsi="Times New Roman" w:cs="Times New Roman"/>
          <w:b/>
          <w:bCs/>
          <w:sz w:val="24"/>
          <w:szCs w:val="24"/>
        </w:rPr>
      </w:pPr>
      <w:r w:rsidRPr="00E654EC">
        <w:rPr>
          <w:rFonts w:ascii="Times New Roman" w:eastAsia="Times New Roman" w:hAnsi="Times New Roman" w:cs="Times New Roman"/>
          <w:b/>
          <w:bCs/>
          <w:i/>
          <w:iCs/>
          <w:sz w:val="24"/>
          <w:szCs w:val="24"/>
        </w:rPr>
        <w:t>Leverage Test</w:t>
      </w:r>
    </w:p>
    <w:p w14:paraId="0DC97C29" w14:textId="6BAB7B80" w:rsidR="000327FB" w:rsidRDefault="00133D92" w:rsidP="00F400E3">
      <w:pPr>
        <w:widowControl w:val="0"/>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160604">
        <w:rPr>
          <w:rFonts w:ascii="Times New Roman" w:eastAsia="Times New Roman" w:hAnsi="Times New Roman" w:cs="Times New Roman"/>
          <w:sz w:val="24"/>
          <w:szCs w:val="24"/>
        </w:rPr>
        <w:t>SP Utility</w:t>
      </w:r>
      <w:r w:rsidR="00F50608" w:rsidRPr="00592BB5">
        <w:rPr>
          <w:rFonts w:ascii="Times New Roman" w:eastAsia="Times New Roman" w:hAnsi="Times New Roman" w:cs="Times New Roman"/>
          <w:sz w:val="24"/>
          <w:szCs w:val="24"/>
        </w:rPr>
        <w:t xml:space="preserve"> filed a</w:t>
      </w:r>
      <w:r w:rsidR="0037770F">
        <w:rPr>
          <w:rFonts w:ascii="Times New Roman" w:eastAsia="Times New Roman" w:hAnsi="Times New Roman" w:cs="Times New Roman"/>
          <w:sz w:val="24"/>
          <w:szCs w:val="24"/>
        </w:rPr>
        <w:t>n affidavit</w:t>
      </w:r>
      <w:r w:rsidR="00F50608" w:rsidRPr="00592BB5">
        <w:rPr>
          <w:rFonts w:ascii="Times New Roman" w:eastAsia="Times New Roman" w:hAnsi="Times New Roman" w:cs="Times New Roman"/>
          <w:sz w:val="24"/>
          <w:szCs w:val="24"/>
        </w:rPr>
        <w:t xml:space="preserve"> stating that</w:t>
      </w:r>
      <w:r w:rsidR="00055843">
        <w:rPr>
          <w:rFonts w:ascii="Times New Roman" w:eastAsia="Times New Roman" w:hAnsi="Times New Roman" w:cs="Times New Roman"/>
          <w:sz w:val="24"/>
          <w:szCs w:val="24"/>
        </w:rPr>
        <w:t xml:space="preserve"> its affiliate,</w:t>
      </w:r>
      <w:r w:rsidR="00F50608" w:rsidRPr="00592BB5">
        <w:rPr>
          <w:rFonts w:ascii="Times New Roman" w:eastAsia="Times New Roman" w:hAnsi="Times New Roman" w:cs="Times New Roman"/>
          <w:sz w:val="24"/>
          <w:szCs w:val="24"/>
        </w:rPr>
        <w:t xml:space="preserve"> </w:t>
      </w:r>
      <w:r w:rsidR="00BE49FD">
        <w:rPr>
          <w:rFonts w:ascii="Times New Roman" w:eastAsia="Times New Roman" w:hAnsi="Times New Roman" w:cs="Times New Roman"/>
          <w:sz w:val="24"/>
          <w:szCs w:val="24"/>
        </w:rPr>
        <w:t>Flow Tech Utility</w:t>
      </w:r>
      <w:r w:rsidR="00B6361C">
        <w:rPr>
          <w:rFonts w:ascii="Times New Roman" w:eastAsia="Times New Roman" w:hAnsi="Times New Roman" w:cs="Times New Roman"/>
          <w:sz w:val="24"/>
          <w:szCs w:val="24"/>
        </w:rPr>
        <w:t xml:space="preserve"> (Flow-Tech</w:t>
      </w:r>
      <w:r w:rsidR="00BE5B9A">
        <w:rPr>
          <w:rFonts w:ascii="Times New Roman" w:eastAsia="Times New Roman" w:hAnsi="Times New Roman" w:cs="Times New Roman"/>
          <w:sz w:val="24"/>
          <w:szCs w:val="24"/>
        </w:rPr>
        <w:t>)</w:t>
      </w:r>
      <w:r w:rsidR="00055843">
        <w:rPr>
          <w:rFonts w:ascii="Times New Roman" w:eastAsia="Times New Roman" w:hAnsi="Times New Roman" w:cs="Times New Roman"/>
          <w:sz w:val="24"/>
          <w:szCs w:val="24"/>
        </w:rPr>
        <w:t>,</w:t>
      </w:r>
      <w:r w:rsidR="00F50608" w:rsidRPr="00592BB5">
        <w:rPr>
          <w:rFonts w:ascii="Times New Roman" w:eastAsia="Times New Roman" w:hAnsi="Times New Roman" w:cs="Times New Roman"/>
          <w:sz w:val="24"/>
          <w:szCs w:val="24"/>
        </w:rPr>
        <w:t xml:space="preserve"> is capable, available, and willing to cover any temporary cash shortages.</w:t>
      </w:r>
      <w:r w:rsidR="00F50608">
        <w:rPr>
          <w:rStyle w:val="FootnoteReference"/>
          <w:rFonts w:ascii="Times New Roman" w:eastAsia="Times New Roman" w:hAnsi="Times New Roman" w:cs="Times New Roman"/>
          <w:sz w:val="24"/>
          <w:szCs w:val="24"/>
        </w:rPr>
        <w:footnoteReference w:id="1"/>
      </w:r>
      <w:r w:rsidR="00F400E3">
        <w:rPr>
          <w:rFonts w:ascii="Times New Roman" w:eastAsia="Times New Roman" w:hAnsi="Times New Roman" w:cs="Times New Roman"/>
          <w:sz w:val="24"/>
          <w:szCs w:val="24"/>
        </w:rPr>
        <w:t xml:space="preserve">  </w:t>
      </w:r>
      <w:r w:rsidRPr="000C0708">
        <w:rPr>
          <w:rFonts w:ascii="Times New Roman" w:eastAsia="Times New Roman" w:hAnsi="Times New Roman" w:cs="Times New Roman"/>
          <w:sz w:val="24"/>
          <w:szCs w:val="24"/>
        </w:rPr>
        <w:t>My analysis is based on</w:t>
      </w:r>
      <w:r w:rsidR="00F400E3">
        <w:rPr>
          <w:rFonts w:ascii="Times New Roman" w:eastAsia="Times New Roman" w:hAnsi="Times New Roman" w:cs="Times New Roman"/>
          <w:sz w:val="24"/>
          <w:szCs w:val="24"/>
        </w:rPr>
        <w:t xml:space="preserve"> Flow-Tech’s</w:t>
      </w:r>
      <w:r w:rsidRPr="000C0708">
        <w:rPr>
          <w:rFonts w:ascii="Times New Roman" w:eastAsia="Times New Roman" w:hAnsi="Times New Roman" w:cs="Times New Roman"/>
          <w:sz w:val="24"/>
          <w:szCs w:val="24"/>
        </w:rPr>
        <w:t xml:space="preserve"> financial statements ending </w:t>
      </w:r>
      <w:r w:rsidR="00BA5465" w:rsidRPr="000C0708">
        <w:rPr>
          <w:rFonts w:ascii="Times New Roman" w:eastAsia="Times New Roman" w:hAnsi="Times New Roman" w:cs="Times New Roman"/>
          <w:sz w:val="24"/>
          <w:szCs w:val="24"/>
        </w:rPr>
        <w:t xml:space="preserve">December 31, </w:t>
      </w:r>
      <w:r w:rsidR="00BF176F" w:rsidRPr="000C0708">
        <w:rPr>
          <w:rFonts w:ascii="Times New Roman" w:eastAsia="Times New Roman" w:hAnsi="Times New Roman" w:cs="Times New Roman"/>
          <w:sz w:val="24"/>
          <w:szCs w:val="24"/>
        </w:rPr>
        <w:t>202</w:t>
      </w:r>
      <w:r w:rsidR="007513FD">
        <w:rPr>
          <w:rFonts w:ascii="Times New Roman" w:eastAsia="Times New Roman" w:hAnsi="Times New Roman" w:cs="Times New Roman"/>
          <w:sz w:val="24"/>
          <w:szCs w:val="24"/>
        </w:rPr>
        <w:t>2</w:t>
      </w:r>
      <w:r w:rsidRPr="000C0708">
        <w:rPr>
          <w:rFonts w:ascii="Times New Roman" w:eastAsia="Times New Roman" w:hAnsi="Times New Roman" w:cs="Times New Roman"/>
          <w:sz w:val="24"/>
          <w:szCs w:val="24"/>
        </w:rPr>
        <w:t>.</w:t>
      </w:r>
      <w:r w:rsidR="00351057">
        <w:rPr>
          <w:rFonts w:ascii="Times New Roman" w:eastAsia="Times New Roman" w:hAnsi="Times New Roman" w:cs="Times New Roman"/>
          <w:sz w:val="24"/>
          <w:szCs w:val="24"/>
        </w:rPr>
        <w:t xml:space="preserve">  Flow-Tech’s </w:t>
      </w:r>
      <w:r w:rsidR="00BB1952">
        <w:rPr>
          <w:rFonts w:ascii="Times New Roman" w:eastAsia="Times New Roman" w:hAnsi="Times New Roman" w:cs="Times New Roman"/>
          <w:sz w:val="24"/>
          <w:szCs w:val="24"/>
        </w:rPr>
        <w:t>financial statements demonstrate</w:t>
      </w:r>
      <w:r w:rsidR="00486209">
        <w:rPr>
          <w:rFonts w:ascii="Times New Roman" w:eastAsia="Times New Roman" w:hAnsi="Times New Roman" w:cs="Times New Roman"/>
          <w:sz w:val="24"/>
          <w:szCs w:val="24"/>
        </w:rPr>
        <w:t xml:space="preserve"> a debt-to-equity ratio of </w:t>
      </w:r>
      <w:r w:rsidR="0051453E">
        <w:rPr>
          <w:rFonts w:ascii="Times New Roman" w:eastAsia="Times New Roman" w:hAnsi="Times New Roman" w:cs="Times New Roman"/>
          <w:sz w:val="24"/>
          <w:szCs w:val="24"/>
        </w:rPr>
        <w:t>0.00</w:t>
      </w:r>
      <w:r w:rsidR="00486209">
        <w:rPr>
          <w:rFonts w:ascii="Times New Roman" w:eastAsia="Times New Roman" w:hAnsi="Times New Roman" w:cs="Times New Roman"/>
          <w:sz w:val="24"/>
          <w:szCs w:val="24"/>
        </w:rPr>
        <w:t xml:space="preserve"> a</w:t>
      </w:r>
      <w:r w:rsidR="00563153">
        <w:rPr>
          <w:rFonts w:ascii="Times New Roman" w:eastAsia="Times New Roman" w:hAnsi="Times New Roman" w:cs="Times New Roman"/>
          <w:sz w:val="24"/>
          <w:szCs w:val="24"/>
        </w:rPr>
        <w:t>s</w:t>
      </w:r>
      <w:r w:rsidR="00486209">
        <w:rPr>
          <w:rFonts w:ascii="Times New Roman" w:eastAsia="Times New Roman" w:hAnsi="Times New Roman" w:cs="Times New Roman"/>
          <w:sz w:val="24"/>
          <w:szCs w:val="24"/>
        </w:rPr>
        <w:t xml:space="preserve"> shown in confidential attachment FB</w:t>
      </w:r>
      <w:r w:rsidR="00563153">
        <w:rPr>
          <w:rFonts w:ascii="Times New Roman" w:eastAsia="Times New Roman" w:hAnsi="Times New Roman" w:cs="Times New Roman"/>
          <w:sz w:val="24"/>
          <w:szCs w:val="24"/>
        </w:rPr>
        <w:t>-</w:t>
      </w:r>
      <w:r w:rsidR="00486209">
        <w:rPr>
          <w:rFonts w:ascii="Times New Roman" w:eastAsia="Times New Roman" w:hAnsi="Times New Roman" w:cs="Times New Roman"/>
          <w:sz w:val="24"/>
          <w:szCs w:val="24"/>
        </w:rPr>
        <w:t>1.</w:t>
      </w:r>
      <w:r w:rsidR="00EC0E4D">
        <w:rPr>
          <w:rFonts w:ascii="Times New Roman" w:eastAsia="Times New Roman" w:hAnsi="Times New Roman" w:cs="Times New Roman"/>
          <w:sz w:val="24"/>
          <w:szCs w:val="24"/>
        </w:rPr>
        <w:t xml:space="preserve"> </w:t>
      </w:r>
      <w:r w:rsidR="00486209">
        <w:rPr>
          <w:rFonts w:ascii="Times New Roman" w:eastAsia="Times New Roman" w:hAnsi="Times New Roman" w:cs="Times New Roman"/>
          <w:sz w:val="24"/>
          <w:szCs w:val="24"/>
        </w:rPr>
        <w:t xml:space="preserve"> </w:t>
      </w:r>
      <w:r w:rsidR="007B27A2" w:rsidRPr="007B27A2">
        <w:rPr>
          <w:rFonts w:ascii="Times New Roman" w:eastAsia="Times New Roman" w:hAnsi="Times New Roman" w:cs="Times New Roman"/>
          <w:sz w:val="24"/>
          <w:szCs w:val="24"/>
        </w:rPr>
        <w:t xml:space="preserve">Because the ratio is less than one, I recommend a finding that </w:t>
      </w:r>
      <w:r w:rsidR="007B27A2">
        <w:rPr>
          <w:rFonts w:ascii="Times New Roman" w:eastAsia="Times New Roman" w:hAnsi="Times New Roman" w:cs="Times New Roman"/>
          <w:sz w:val="24"/>
          <w:szCs w:val="24"/>
        </w:rPr>
        <w:t>Flow-Tech</w:t>
      </w:r>
      <w:r w:rsidR="007B27A2" w:rsidRPr="007B27A2">
        <w:rPr>
          <w:rFonts w:ascii="Times New Roman" w:eastAsia="Times New Roman" w:hAnsi="Times New Roman" w:cs="Times New Roman"/>
          <w:sz w:val="24"/>
          <w:szCs w:val="24"/>
        </w:rPr>
        <w:t xml:space="preserve"> meets the leverage test specified in 16 TAC § 24.11(e)(2)(A).  Therefore, I recommend a finding that—through its affiliate—</w:t>
      </w:r>
      <w:r w:rsidR="003271FD">
        <w:rPr>
          <w:rFonts w:ascii="Times New Roman" w:eastAsia="Times New Roman" w:hAnsi="Times New Roman" w:cs="Times New Roman"/>
          <w:sz w:val="24"/>
          <w:szCs w:val="24"/>
        </w:rPr>
        <w:t>SP Utility</w:t>
      </w:r>
      <w:r w:rsidR="007B27A2" w:rsidRPr="007B27A2">
        <w:rPr>
          <w:rFonts w:ascii="Times New Roman" w:eastAsia="Times New Roman" w:hAnsi="Times New Roman" w:cs="Times New Roman"/>
          <w:sz w:val="24"/>
          <w:szCs w:val="24"/>
        </w:rPr>
        <w:t xml:space="preserve"> meets the leverage test</w:t>
      </w:r>
      <w:r w:rsidR="00C15A5A">
        <w:rPr>
          <w:rFonts w:ascii="Times New Roman" w:eastAsia="Times New Roman" w:hAnsi="Times New Roman" w:cs="Times New Roman"/>
          <w:sz w:val="24"/>
          <w:szCs w:val="24"/>
        </w:rPr>
        <w:t>,</w:t>
      </w:r>
      <w:r w:rsidR="007B27A2" w:rsidRPr="007B27A2">
        <w:rPr>
          <w:rFonts w:ascii="Times New Roman" w:eastAsia="Times New Roman" w:hAnsi="Times New Roman" w:cs="Times New Roman"/>
          <w:sz w:val="24"/>
          <w:szCs w:val="24"/>
        </w:rPr>
        <w:t xml:space="preserve"> as specified in 16 TAC § 24.11(e)(2)(E).</w:t>
      </w:r>
      <w:r w:rsidR="00486209">
        <w:rPr>
          <w:rFonts w:ascii="Times New Roman" w:eastAsia="Times New Roman" w:hAnsi="Times New Roman" w:cs="Times New Roman"/>
          <w:sz w:val="24"/>
          <w:szCs w:val="24"/>
        </w:rPr>
        <w:t xml:space="preserve"> </w:t>
      </w:r>
      <w:r w:rsidR="003B7AA6">
        <w:rPr>
          <w:rFonts w:ascii="Times New Roman" w:eastAsia="Times New Roman" w:hAnsi="Times New Roman" w:cs="Times New Roman"/>
          <w:sz w:val="24"/>
          <w:szCs w:val="24"/>
        </w:rPr>
        <w:t xml:space="preserve">  </w:t>
      </w:r>
      <w:r w:rsidRPr="000C0708">
        <w:rPr>
          <w:rFonts w:ascii="Times New Roman" w:eastAsia="Times New Roman" w:hAnsi="Times New Roman" w:cs="Times New Roman"/>
          <w:sz w:val="24"/>
          <w:szCs w:val="24"/>
        </w:rPr>
        <w:t xml:space="preserve">  </w:t>
      </w:r>
    </w:p>
    <w:p w14:paraId="62695412" w14:textId="6E3BF8ED" w:rsidR="00376E5F" w:rsidRPr="00E654EC" w:rsidRDefault="00376E5F" w:rsidP="007C0FAE">
      <w:pPr>
        <w:widowControl w:val="0"/>
        <w:spacing w:after="120" w:line="360" w:lineRule="auto"/>
        <w:jc w:val="both"/>
        <w:rPr>
          <w:rFonts w:ascii="Times New Roman" w:eastAsia="Times New Roman" w:hAnsi="Times New Roman" w:cs="Times New Roman"/>
          <w:b/>
          <w:bCs/>
          <w:sz w:val="24"/>
          <w:szCs w:val="24"/>
        </w:rPr>
      </w:pPr>
      <w:r w:rsidRPr="00E654EC">
        <w:rPr>
          <w:rFonts w:ascii="Times New Roman" w:eastAsia="Times New Roman" w:hAnsi="Times New Roman" w:cs="Times New Roman"/>
          <w:b/>
          <w:bCs/>
          <w:i/>
          <w:iCs/>
          <w:sz w:val="24"/>
          <w:szCs w:val="24"/>
        </w:rPr>
        <w:lastRenderedPageBreak/>
        <w:t>Operations Test</w:t>
      </w:r>
    </w:p>
    <w:p w14:paraId="0A6816A7" w14:textId="77777777" w:rsidR="00E654EC" w:rsidRDefault="00133D92" w:rsidP="007C0FAE">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654EC"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E654EC" w:rsidRPr="00204D19">
        <w:rPr>
          <w:rFonts w:ascii="Times New Roman" w:eastAsia="Times New Roman" w:hAnsi="Times New Roman" w:cs="Times New Roman"/>
          <w:sz w:val="24"/>
          <w:szCs w:val="24"/>
        </w:rPr>
        <w:t>expense during the first five years of operations</w:t>
      </w:r>
      <w:r w:rsidR="00E654EC">
        <w:rPr>
          <w:rFonts w:ascii="Times New Roman" w:eastAsia="Times New Roman" w:hAnsi="Times New Roman" w:cs="Times New Roman"/>
          <w:sz w:val="24"/>
          <w:szCs w:val="24"/>
        </w:rPr>
        <w:t>; or a</w:t>
      </w:r>
      <w:r w:rsidR="00E654EC" w:rsidRPr="003D0026">
        <w:rPr>
          <w:rFonts w:ascii="Times New Roman" w:eastAsia="Times New Roman" w:hAnsi="Times New Roman" w:cs="Times New Roman"/>
          <w:sz w:val="24"/>
          <w:szCs w:val="24"/>
        </w:rPr>
        <w:t xml:space="preserve">n </w:t>
      </w:r>
      <w:r w:rsidR="00E654E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E654EC" w:rsidRPr="00E679AE">
        <w:rPr>
          <w:rFonts w:ascii="Times New Roman" w:eastAsia="Times New Roman" w:hAnsi="Times New Roman" w:cs="Times New Roman"/>
          <w:sz w:val="24"/>
          <w:szCs w:val="24"/>
        </w:rPr>
        <w:t xml:space="preserve"> 16 TAC § 24.11(e)(3</w:t>
      </w:r>
      <w:r w:rsidR="00E654EC">
        <w:rPr>
          <w:rFonts w:ascii="Times New Roman" w:eastAsia="Times New Roman" w:hAnsi="Times New Roman" w:cs="Times New Roman"/>
          <w:sz w:val="24"/>
          <w:szCs w:val="24"/>
        </w:rPr>
        <w:t>).</w:t>
      </w:r>
    </w:p>
    <w:p w14:paraId="264A93F3" w14:textId="5F5E69DF" w:rsidR="00376E5F" w:rsidRDefault="00133D92" w:rsidP="007C0FAE">
      <w:pPr>
        <w:widowControl w:val="0"/>
        <w:spacing w:after="120" w:line="360" w:lineRule="auto"/>
        <w:jc w:val="both"/>
        <w:rPr>
          <w:rFonts w:ascii="Times New Roman" w:eastAsia="Times New Roman" w:hAnsi="Times New Roman" w:cs="Times New Roman"/>
          <w:sz w:val="24"/>
          <w:szCs w:val="24"/>
        </w:rPr>
      </w:pPr>
      <w:r w:rsidRPr="005525A1">
        <w:rPr>
          <w:rFonts w:ascii="Times New Roman" w:eastAsia="Times New Roman" w:hAnsi="Times New Roman" w:cs="Times New Roman"/>
          <w:sz w:val="24"/>
          <w:szCs w:val="24"/>
        </w:rPr>
        <w:tab/>
      </w:r>
      <w:r w:rsidR="00B74DE4">
        <w:rPr>
          <w:rFonts w:ascii="Times New Roman" w:eastAsia="Times New Roman" w:hAnsi="Times New Roman" w:cs="Times New Roman"/>
          <w:sz w:val="24"/>
          <w:szCs w:val="24"/>
        </w:rPr>
        <w:t>SP Utilit</w:t>
      </w:r>
      <w:r w:rsidR="00FA6C2A">
        <w:rPr>
          <w:rFonts w:ascii="Times New Roman" w:eastAsia="Times New Roman" w:hAnsi="Times New Roman" w:cs="Times New Roman"/>
          <w:sz w:val="24"/>
          <w:szCs w:val="24"/>
        </w:rPr>
        <w:t xml:space="preserve">y’s affiliate, </w:t>
      </w:r>
      <w:r w:rsidR="001C31E7" w:rsidRPr="001C31E7">
        <w:rPr>
          <w:rFonts w:ascii="Times New Roman" w:eastAsia="Times New Roman" w:hAnsi="Times New Roman" w:cs="Times New Roman"/>
          <w:sz w:val="24"/>
          <w:szCs w:val="24"/>
        </w:rPr>
        <w:t>Flow-Tech</w:t>
      </w:r>
      <w:r w:rsidR="00FA6C2A">
        <w:rPr>
          <w:rFonts w:ascii="Times New Roman" w:eastAsia="Times New Roman" w:hAnsi="Times New Roman" w:cs="Times New Roman"/>
          <w:sz w:val="24"/>
          <w:szCs w:val="24"/>
        </w:rPr>
        <w:t>,</w:t>
      </w:r>
      <w:r w:rsidR="001C31E7" w:rsidRPr="001C31E7">
        <w:rPr>
          <w:rFonts w:ascii="Times New Roman" w:eastAsia="Times New Roman" w:hAnsi="Times New Roman" w:cs="Times New Roman"/>
          <w:sz w:val="24"/>
          <w:szCs w:val="24"/>
        </w:rPr>
        <w:t xml:space="preserve"> provided a written guarantee to cover any temporary shortages</w:t>
      </w:r>
      <w:r w:rsidR="00167502">
        <w:rPr>
          <w:rFonts w:ascii="Times New Roman" w:eastAsia="Times New Roman" w:hAnsi="Times New Roman" w:cs="Times New Roman"/>
          <w:sz w:val="24"/>
          <w:szCs w:val="24"/>
        </w:rPr>
        <w:t>.</w:t>
      </w:r>
      <w:r w:rsidR="00D8634C">
        <w:rPr>
          <w:rStyle w:val="FootnoteReference"/>
          <w:rFonts w:ascii="Times New Roman" w:eastAsia="Times New Roman" w:hAnsi="Times New Roman" w:cs="Times New Roman"/>
          <w:sz w:val="24"/>
          <w:szCs w:val="24"/>
        </w:rPr>
        <w:footnoteReference w:id="2"/>
      </w:r>
      <w:r w:rsidR="001057E1">
        <w:rPr>
          <w:rFonts w:ascii="Times New Roman" w:eastAsia="Times New Roman" w:hAnsi="Times New Roman" w:cs="Times New Roman"/>
          <w:sz w:val="24"/>
          <w:szCs w:val="24"/>
        </w:rPr>
        <w:t xml:space="preserve">  </w:t>
      </w:r>
      <w:r w:rsidR="001C31E7" w:rsidRPr="001C31E7">
        <w:rPr>
          <w:rFonts w:ascii="Times New Roman" w:eastAsia="Times New Roman" w:hAnsi="Times New Roman" w:cs="Times New Roman"/>
          <w:sz w:val="24"/>
          <w:szCs w:val="24"/>
        </w:rPr>
        <w:t>Flow-Tech</w:t>
      </w:r>
      <w:r w:rsidR="00195A3A">
        <w:rPr>
          <w:rFonts w:ascii="Times New Roman" w:eastAsia="Times New Roman" w:hAnsi="Times New Roman" w:cs="Times New Roman"/>
          <w:sz w:val="24"/>
          <w:szCs w:val="24"/>
        </w:rPr>
        <w:t>’s financial statements</w:t>
      </w:r>
      <w:r w:rsidR="00873024">
        <w:rPr>
          <w:rFonts w:ascii="Times New Roman" w:eastAsia="Times New Roman" w:hAnsi="Times New Roman" w:cs="Times New Roman"/>
          <w:sz w:val="24"/>
          <w:szCs w:val="24"/>
        </w:rPr>
        <w:t xml:space="preserve"> as shown i</w:t>
      </w:r>
      <w:r w:rsidR="008969B5">
        <w:rPr>
          <w:rFonts w:ascii="Times New Roman" w:eastAsia="Times New Roman" w:hAnsi="Times New Roman" w:cs="Times New Roman"/>
          <w:sz w:val="24"/>
          <w:szCs w:val="24"/>
        </w:rPr>
        <w:t>n confidential attachment FB-1</w:t>
      </w:r>
      <w:r w:rsidR="001C31E7" w:rsidRPr="001C31E7">
        <w:rPr>
          <w:rFonts w:ascii="Times New Roman" w:eastAsia="Times New Roman" w:hAnsi="Times New Roman" w:cs="Times New Roman"/>
          <w:sz w:val="24"/>
          <w:szCs w:val="24"/>
        </w:rPr>
        <w:t xml:space="preserve"> satisf</w:t>
      </w:r>
      <w:r w:rsidR="00195A3A">
        <w:rPr>
          <w:rFonts w:ascii="Times New Roman" w:eastAsia="Times New Roman" w:hAnsi="Times New Roman" w:cs="Times New Roman"/>
          <w:sz w:val="24"/>
          <w:szCs w:val="24"/>
        </w:rPr>
        <w:t>y</w:t>
      </w:r>
      <w:r w:rsidR="001C31E7" w:rsidRPr="001C31E7">
        <w:rPr>
          <w:rFonts w:ascii="Times New Roman" w:eastAsia="Times New Roman" w:hAnsi="Times New Roman" w:cs="Times New Roman"/>
          <w:sz w:val="24"/>
          <w:szCs w:val="24"/>
        </w:rPr>
        <w:t xml:space="preserve"> the leverage test</w:t>
      </w:r>
      <w:r w:rsidR="00873024">
        <w:rPr>
          <w:rFonts w:ascii="Times New Roman" w:eastAsia="Times New Roman" w:hAnsi="Times New Roman" w:cs="Times New Roman"/>
          <w:sz w:val="24"/>
          <w:szCs w:val="24"/>
        </w:rPr>
        <w:t xml:space="preserve"> and</w:t>
      </w:r>
      <w:r w:rsidR="001C31E7" w:rsidRPr="001C31E7">
        <w:rPr>
          <w:rFonts w:ascii="Times New Roman" w:eastAsia="Times New Roman" w:hAnsi="Times New Roman" w:cs="Times New Roman"/>
          <w:sz w:val="24"/>
          <w:szCs w:val="24"/>
        </w:rPr>
        <w:t xml:space="preserve"> indicate Flow-Tech possesses sufficient cash reserves and generates sufficient operating income</w:t>
      </w:r>
      <w:r w:rsidR="004037C0" w:rsidRPr="005525A1">
        <w:rPr>
          <w:rFonts w:ascii="Times New Roman" w:eastAsia="Times New Roman" w:hAnsi="Times New Roman" w:cs="Times New Roman"/>
          <w:sz w:val="24"/>
          <w:szCs w:val="24"/>
        </w:rPr>
        <w:t xml:space="preserve"> to cover</w:t>
      </w:r>
      <w:r w:rsidR="00D8634C">
        <w:rPr>
          <w:rFonts w:ascii="Times New Roman" w:eastAsia="Times New Roman" w:hAnsi="Times New Roman" w:cs="Times New Roman"/>
          <w:sz w:val="24"/>
          <w:szCs w:val="24"/>
        </w:rPr>
        <w:t xml:space="preserve"> </w:t>
      </w:r>
      <w:r w:rsidR="00C64F1A">
        <w:rPr>
          <w:rFonts w:ascii="Times New Roman" w:eastAsia="Times New Roman" w:hAnsi="Times New Roman" w:cs="Times New Roman"/>
          <w:sz w:val="24"/>
          <w:szCs w:val="24"/>
        </w:rPr>
        <w:t>projected cash shortages</w:t>
      </w:r>
      <w:r w:rsidR="00E654EC">
        <w:rPr>
          <w:rFonts w:ascii="Times New Roman" w:eastAsia="Times New Roman" w:hAnsi="Times New Roman" w:cs="Times New Roman"/>
          <w:sz w:val="24"/>
          <w:szCs w:val="24"/>
        </w:rPr>
        <w:t xml:space="preserve">. </w:t>
      </w:r>
      <w:r w:rsidR="00C64F1A">
        <w:rPr>
          <w:rFonts w:ascii="Times New Roman" w:eastAsia="Times New Roman" w:hAnsi="Times New Roman" w:cs="Times New Roman"/>
          <w:sz w:val="24"/>
          <w:szCs w:val="24"/>
        </w:rPr>
        <w:t xml:space="preserve"> </w:t>
      </w:r>
      <w:r w:rsidR="004412BD" w:rsidRPr="005525A1">
        <w:rPr>
          <w:rFonts w:ascii="Times New Roman" w:eastAsia="Times New Roman" w:hAnsi="Times New Roman" w:cs="Times New Roman"/>
          <w:sz w:val="24"/>
          <w:szCs w:val="24"/>
        </w:rPr>
        <w:t>Therefore</w:t>
      </w:r>
      <w:r w:rsidR="004412BD" w:rsidRPr="00533AB6">
        <w:rPr>
          <w:rFonts w:ascii="Times New Roman" w:eastAsia="Times New Roman" w:hAnsi="Times New Roman" w:cs="Times New Roman"/>
          <w:sz w:val="24"/>
          <w:szCs w:val="24"/>
        </w:rPr>
        <w:t>, I recommend</w:t>
      </w:r>
      <w:r w:rsidR="004412BD" w:rsidRPr="004037C0">
        <w:rPr>
          <w:rFonts w:ascii="Times New Roman" w:eastAsia="Times New Roman" w:hAnsi="Times New Roman" w:cs="Times New Roman"/>
          <w:sz w:val="24"/>
          <w:szCs w:val="24"/>
        </w:rPr>
        <w:t xml:space="preserve"> a finding that </w:t>
      </w:r>
      <w:r w:rsidR="00456C19">
        <w:rPr>
          <w:rFonts w:ascii="Times New Roman" w:eastAsia="Times New Roman" w:hAnsi="Times New Roman" w:cs="Times New Roman"/>
          <w:sz w:val="24"/>
          <w:szCs w:val="24"/>
        </w:rPr>
        <w:t>SP Utility</w:t>
      </w:r>
      <w:r w:rsidR="004412BD" w:rsidRPr="004037C0">
        <w:rPr>
          <w:rFonts w:ascii="Times New Roman" w:eastAsia="Times New Roman" w:hAnsi="Times New Roman" w:cs="Times New Roman"/>
          <w:sz w:val="24"/>
          <w:szCs w:val="24"/>
        </w:rPr>
        <w:t xml:space="preserve"> meets the operations test specified in 16 TAC § 24.11(e)(3).</w:t>
      </w:r>
    </w:p>
    <w:p w14:paraId="4732D3EE" w14:textId="77777777" w:rsidR="00305165" w:rsidRPr="00305165" w:rsidRDefault="00305165" w:rsidP="00305165">
      <w:pPr>
        <w:widowControl w:val="0"/>
        <w:spacing w:after="120" w:line="360" w:lineRule="auto"/>
        <w:jc w:val="both"/>
        <w:rPr>
          <w:rFonts w:ascii="Times New Roman" w:eastAsia="Times New Roman" w:hAnsi="Times New Roman" w:cs="Times New Roman"/>
          <w:b/>
          <w:bCs/>
          <w:i/>
          <w:iCs/>
          <w:sz w:val="24"/>
          <w:szCs w:val="24"/>
        </w:rPr>
      </w:pPr>
      <w:r w:rsidRPr="00305165">
        <w:rPr>
          <w:rFonts w:ascii="Times New Roman" w:eastAsia="Times New Roman" w:hAnsi="Times New Roman" w:cs="Times New Roman"/>
          <w:b/>
          <w:bCs/>
          <w:i/>
          <w:iCs/>
          <w:sz w:val="24"/>
          <w:szCs w:val="24"/>
        </w:rPr>
        <w:t>Planned Capital Improvements and Purchase Price</w:t>
      </w:r>
    </w:p>
    <w:p w14:paraId="720D74A0" w14:textId="1BD718DB" w:rsidR="00305165" w:rsidRDefault="00305165" w:rsidP="00305165">
      <w:pPr>
        <w:widowControl w:val="0"/>
        <w:spacing w:after="120" w:line="360" w:lineRule="auto"/>
        <w:jc w:val="both"/>
        <w:rPr>
          <w:rFonts w:ascii="Times New Roman" w:eastAsia="Times New Roman" w:hAnsi="Times New Roman" w:cs="Times New Roman"/>
          <w:sz w:val="24"/>
          <w:szCs w:val="24"/>
        </w:rPr>
      </w:pPr>
      <w:r w:rsidRPr="00305165">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exceeding $100,000 necessary to provide continuous and adequate service to the existing customers per 16 TAC § 24.11(e)(5)(A).</w:t>
      </w:r>
    </w:p>
    <w:p w14:paraId="43A66BE2" w14:textId="599560E8" w:rsidR="00305165" w:rsidRPr="004037C0" w:rsidRDefault="00305165" w:rsidP="00305165">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834F3" w:rsidRPr="00A834F3">
        <w:rPr>
          <w:rFonts w:ascii="Times New Roman" w:eastAsia="Times New Roman" w:hAnsi="Times New Roman" w:cs="Times New Roman"/>
          <w:sz w:val="24"/>
          <w:szCs w:val="24"/>
        </w:rPr>
        <w:t xml:space="preserve">Pursuant to the memorandum provided by </w:t>
      </w:r>
      <w:r w:rsidR="00670AB4">
        <w:rPr>
          <w:rFonts w:ascii="Times New Roman" w:eastAsia="Times New Roman" w:hAnsi="Times New Roman" w:cs="Times New Roman"/>
          <w:sz w:val="24"/>
          <w:szCs w:val="24"/>
        </w:rPr>
        <w:t>Ja</w:t>
      </w:r>
      <w:r w:rsidR="00AB7A9C">
        <w:rPr>
          <w:rFonts w:ascii="Times New Roman" w:eastAsia="Times New Roman" w:hAnsi="Times New Roman" w:cs="Times New Roman"/>
          <w:sz w:val="24"/>
          <w:szCs w:val="24"/>
        </w:rPr>
        <w:t>spinder Sin</w:t>
      </w:r>
      <w:r w:rsidR="006724DB">
        <w:rPr>
          <w:rFonts w:ascii="Times New Roman" w:eastAsia="Times New Roman" w:hAnsi="Times New Roman" w:cs="Times New Roman"/>
          <w:sz w:val="24"/>
          <w:szCs w:val="24"/>
        </w:rPr>
        <w:t>gh</w:t>
      </w:r>
      <w:r w:rsidR="00A834F3" w:rsidRPr="00A834F3">
        <w:rPr>
          <w:rFonts w:ascii="Times New Roman" w:eastAsia="Times New Roman" w:hAnsi="Times New Roman" w:cs="Times New Roman"/>
          <w:sz w:val="24"/>
          <w:szCs w:val="24"/>
        </w:rPr>
        <w:t xml:space="preserve">, Infrastructure </w:t>
      </w:r>
      <w:r w:rsidR="00706C0E">
        <w:rPr>
          <w:rFonts w:ascii="Times New Roman" w:eastAsia="Times New Roman" w:hAnsi="Times New Roman" w:cs="Times New Roman"/>
          <w:sz w:val="24"/>
          <w:szCs w:val="24"/>
        </w:rPr>
        <w:t>Analyst</w:t>
      </w:r>
      <w:r w:rsidR="00A834F3" w:rsidRPr="00A834F3">
        <w:rPr>
          <w:rFonts w:ascii="Times New Roman" w:eastAsia="Times New Roman" w:hAnsi="Times New Roman" w:cs="Times New Roman"/>
          <w:sz w:val="24"/>
          <w:szCs w:val="24"/>
        </w:rPr>
        <w:t xml:space="preserve">, </w:t>
      </w:r>
      <w:r w:rsidR="00706C0E">
        <w:rPr>
          <w:rFonts w:ascii="Times New Roman" w:eastAsia="Times New Roman" w:hAnsi="Times New Roman" w:cs="Times New Roman"/>
          <w:sz w:val="24"/>
          <w:szCs w:val="24"/>
        </w:rPr>
        <w:t xml:space="preserve">there are no </w:t>
      </w:r>
      <w:r w:rsidR="00A834F3" w:rsidRPr="00A834F3">
        <w:rPr>
          <w:rFonts w:ascii="Times New Roman" w:eastAsia="Times New Roman" w:hAnsi="Times New Roman" w:cs="Times New Roman"/>
          <w:sz w:val="24"/>
          <w:szCs w:val="24"/>
        </w:rPr>
        <w:t>required capital improvement</w:t>
      </w:r>
      <w:r w:rsidR="00706C0E">
        <w:rPr>
          <w:rFonts w:ascii="Times New Roman" w:eastAsia="Times New Roman" w:hAnsi="Times New Roman" w:cs="Times New Roman"/>
          <w:sz w:val="24"/>
          <w:szCs w:val="24"/>
        </w:rPr>
        <w:t>s</w:t>
      </w:r>
      <w:r w:rsidR="00A834F3" w:rsidRPr="00A834F3">
        <w:rPr>
          <w:rFonts w:ascii="Times New Roman" w:eastAsia="Times New Roman" w:hAnsi="Times New Roman" w:cs="Times New Roman"/>
          <w:sz w:val="24"/>
          <w:szCs w:val="24"/>
        </w:rPr>
        <w:t>.</w:t>
      </w:r>
      <w:r w:rsidR="00670AB4">
        <w:rPr>
          <w:rFonts w:ascii="Times New Roman" w:eastAsia="Times New Roman" w:hAnsi="Times New Roman" w:cs="Times New Roman"/>
          <w:sz w:val="24"/>
          <w:szCs w:val="24"/>
        </w:rPr>
        <w:t xml:space="preserve">  </w:t>
      </w:r>
      <w:r w:rsidR="00670AB4" w:rsidRPr="00670AB4">
        <w:rPr>
          <w:rFonts w:ascii="Times New Roman" w:eastAsia="Times New Roman" w:hAnsi="Times New Roman" w:cs="Times New Roman"/>
          <w:sz w:val="24"/>
          <w:szCs w:val="24"/>
        </w:rPr>
        <w:t xml:space="preserve">Therefore, I recommend a finding that </w:t>
      </w:r>
      <w:r w:rsidR="00706C0E">
        <w:rPr>
          <w:rFonts w:ascii="Times New Roman" w:eastAsia="Times New Roman" w:hAnsi="Times New Roman" w:cs="Times New Roman"/>
          <w:sz w:val="24"/>
          <w:szCs w:val="24"/>
        </w:rPr>
        <w:t>SP</w:t>
      </w:r>
      <w:r w:rsidR="006C4DD9">
        <w:rPr>
          <w:rFonts w:ascii="Times New Roman" w:eastAsia="Times New Roman" w:hAnsi="Times New Roman" w:cs="Times New Roman"/>
          <w:sz w:val="24"/>
          <w:szCs w:val="24"/>
        </w:rPr>
        <w:t xml:space="preserve"> Utility should not be required to</w:t>
      </w:r>
      <w:r w:rsidR="00670AB4" w:rsidRPr="00670AB4">
        <w:rPr>
          <w:rFonts w:ascii="Times New Roman" w:eastAsia="Times New Roman" w:hAnsi="Times New Roman" w:cs="Times New Roman"/>
          <w:sz w:val="24"/>
          <w:szCs w:val="24"/>
        </w:rPr>
        <w:t xml:space="preserve"> satisf</w:t>
      </w:r>
      <w:r w:rsidR="006C4DD9">
        <w:rPr>
          <w:rFonts w:ascii="Times New Roman" w:eastAsia="Times New Roman" w:hAnsi="Times New Roman" w:cs="Times New Roman"/>
          <w:sz w:val="24"/>
          <w:szCs w:val="24"/>
        </w:rPr>
        <w:t>y</w:t>
      </w:r>
      <w:r w:rsidR="00670AB4" w:rsidRPr="00670AB4">
        <w:rPr>
          <w:rFonts w:ascii="Times New Roman" w:eastAsia="Times New Roman" w:hAnsi="Times New Roman" w:cs="Times New Roman"/>
          <w:sz w:val="24"/>
          <w:szCs w:val="24"/>
        </w:rPr>
        <w:t xml:space="preserve"> the requirements of 16 TAC § 24.11(e)(5)(A).</w:t>
      </w:r>
    </w:p>
    <w:p w14:paraId="1640854D" w14:textId="2C5BE6AC" w:rsidR="00376E5F" w:rsidRPr="00E654EC" w:rsidRDefault="00376E5F" w:rsidP="007C0FAE">
      <w:pPr>
        <w:widowControl w:val="0"/>
        <w:spacing w:after="120" w:line="360" w:lineRule="auto"/>
        <w:jc w:val="both"/>
        <w:rPr>
          <w:rFonts w:ascii="Times New Roman" w:eastAsia="Times New Roman" w:hAnsi="Times New Roman" w:cs="Times New Roman"/>
          <w:b/>
          <w:bCs/>
          <w:i/>
          <w:iCs/>
          <w:sz w:val="24"/>
          <w:szCs w:val="24"/>
        </w:rPr>
      </w:pPr>
      <w:r w:rsidRPr="00E654EC">
        <w:rPr>
          <w:rFonts w:ascii="Times New Roman" w:eastAsia="Times New Roman" w:hAnsi="Times New Roman" w:cs="Times New Roman"/>
          <w:b/>
          <w:bCs/>
          <w:i/>
          <w:iCs/>
          <w:sz w:val="24"/>
          <w:szCs w:val="24"/>
        </w:rPr>
        <w:t>Recommendation</w:t>
      </w:r>
    </w:p>
    <w:p w14:paraId="5CAD1645" w14:textId="3847DAF9" w:rsidR="00376E5F" w:rsidRPr="004037C0" w:rsidRDefault="00376E5F" w:rsidP="007C0FAE">
      <w:pPr>
        <w:widowControl w:val="0"/>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4DD9">
        <w:rPr>
          <w:rFonts w:ascii="Times New Roman" w:eastAsia="Times New Roman" w:hAnsi="Times New Roman" w:cs="Times New Roman"/>
          <w:sz w:val="24"/>
          <w:szCs w:val="24"/>
        </w:rPr>
        <w:t>SP Utility</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79FEF789" w:rsidR="00372923" w:rsidRPr="00372923" w:rsidRDefault="00133D92" w:rsidP="007C0FAE">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546CF9">
        <w:rPr>
          <w:rFonts w:ascii="Times New Roman" w:hAnsi="Times New Roman" w:cs="Times New Roman"/>
          <w:sz w:val="24"/>
          <w:szCs w:val="24"/>
        </w:rPr>
        <w:t>SP Utility</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546CF9">
        <w:rPr>
          <w:rFonts w:ascii="Times New Roman" w:hAnsi="Times New Roman" w:cs="Times New Roman"/>
          <w:sz w:val="24"/>
          <w:szCs w:val="24"/>
        </w:rPr>
        <w:t>SP Utility</w:t>
      </w:r>
      <w:r w:rsidR="00372923" w:rsidRPr="00372923">
        <w:rPr>
          <w:rFonts w:ascii="Times New Roman" w:hAnsi="Times New Roman" w:cs="Times New Roman"/>
          <w:sz w:val="24"/>
          <w:szCs w:val="24"/>
        </w:rPr>
        <w:t xml:space="preserve"> before the date of this memorandum and may not reflect any changes in </w:t>
      </w:r>
      <w:r w:rsidR="00546CF9">
        <w:rPr>
          <w:rFonts w:ascii="Times New Roman" w:hAnsi="Times New Roman" w:cs="Times New Roman"/>
          <w:sz w:val="24"/>
          <w:szCs w:val="24"/>
        </w:rPr>
        <w:t>SP Utility</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456C19">
      <w:headerReference w:type="default" r:id="rId7"/>
      <w:footerReference w:type="even" r:id="rId8"/>
      <w:footerReference w:type="default" r:id="rId9"/>
      <w:pgSz w:w="12240" w:h="15840"/>
      <w:pgMar w:top="99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6A50" w14:textId="77777777" w:rsidR="00212FD5" w:rsidRDefault="00212FD5" w:rsidP="003E3FA5">
      <w:pPr>
        <w:spacing w:after="0" w:line="240" w:lineRule="auto"/>
      </w:pPr>
      <w:r>
        <w:separator/>
      </w:r>
    </w:p>
  </w:endnote>
  <w:endnote w:type="continuationSeparator" w:id="0">
    <w:p w14:paraId="629D7E59" w14:textId="77777777" w:rsidR="00212FD5" w:rsidRDefault="00212FD5"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2E61A4"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2E61A4" w:rsidRDefault="002E61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2E61A4"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2E61A4" w:rsidRDefault="002E61A4">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6F784" w14:textId="77777777" w:rsidR="00212FD5" w:rsidRDefault="00212FD5" w:rsidP="003E3FA5">
      <w:pPr>
        <w:spacing w:after="0" w:line="240" w:lineRule="auto"/>
      </w:pPr>
      <w:r>
        <w:separator/>
      </w:r>
    </w:p>
  </w:footnote>
  <w:footnote w:type="continuationSeparator" w:id="0">
    <w:p w14:paraId="13CD4F3E" w14:textId="77777777" w:rsidR="00212FD5" w:rsidRDefault="00212FD5" w:rsidP="003E3FA5">
      <w:pPr>
        <w:spacing w:after="0" w:line="240" w:lineRule="auto"/>
      </w:pPr>
      <w:r>
        <w:continuationSeparator/>
      </w:r>
    </w:p>
  </w:footnote>
  <w:footnote w:id="1">
    <w:p w14:paraId="4FDAF9CC" w14:textId="6FA5BCED" w:rsidR="00F50608" w:rsidRPr="00E654EC" w:rsidRDefault="00F50608" w:rsidP="00A824DD">
      <w:pPr>
        <w:pStyle w:val="FootnoteText"/>
        <w:spacing w:after="120"/>
        <w:ind w:firstLine="720"/>
        <w:jc w:val="both"/>
      </w:pPr>
      <w:r>
        <w:rPr>
          <w:rStyle w:val="FootnoteReference"/>
        </w:rPr>
        <w:footnoteRef/>
      </w:r>
      <w:r>
        <w:t xml:space="preserve">  </w:t>
      </w:r>
      <w:r w:rsidR="000A5DBB">
        <w:t xml:space="preserve">Requested </w:t>
      </w:r>
      <w:r w:rsidR="00261BF5">
        <w:t>F</w:t>
      </w:r>
      <w:r w:rsidR="000A5DBB">
        <w:t xml:space="preserve">inancial </w:t>
      </w:r>
      <w:r w:rsidR="00261BF5">
        <w:t>I</w:t>
      </w:r>
      <w:r w:rsidR="000A5DBB">
        <w:t xml:space="preserve">nformation and </w:t>
      </w:r>
      <w:r w:rsidR="00261BF5">
        <w:t>A</w:t>
      </w:r>
      <w:r w:rsidR="000A5DBB">
        <w:t>ffidavit</w:t>
      </w:r>
      <w:r w:rsidR="00F247B3">
        <w:t xml:space="preserve"> at </w:t>
      </w:r>
      <w:r w:rsidR="00261BF5">
        <w:t>1</w:t>
      </w:r>
      <w:r w:rsidR="00F247B3">
        <w:t xml:space="preserve"> (Mar. 4, 2024)</w:t>
      </w:r>
      <w:r w:rsidR="00E654EC">
        <w:t>.</w:t>
      </w:r>
    </w:p>
  </w:footnote>
  <w:footnote w:id="2">
    <w:p w14:paraId="59013205" w14:textId="01B002A5" w:rsidR="00D8634C" w:rsidRDefault="00D8634C" w:rsidP="00D8634C">
      <w:pPr>
        <w:pStyle w:val="FootnoteText"/>
        <w:spacing w:after="120"/>
        <w:ind w:firstLine="720"/>
        <w:jc w:val="both"/>
      </w:pPr>
      <w:r>
        <w:rPr>
          <w:rStyle w:val="FootnoteReference"/>
        </w:rPr>
        <w:footnoteRef/>
      </w:r>
      <w:r>
        <w:t xml:space="preserve">  </w:t>
      </w:r>
      <w:r w:rsidR="00072971" w:rsidRPr="00072971">
        <w:rPr>
          <w:i/>
          <w:iCs/>
        </w:rPr>
        <w:t>Id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DC36E46" w:rsidR="002E61A4" w:rsidRPr="002E015F" w:rsidRDefault="00363697" w:rsidP="0099083B">
    <w:pPr>
      <w:pStyle w:val="Header"/>
      <w:spacing w:after="240"/>
      <w:jc w:val="right"/>
      <w:rPr>
        <w:b/>
      </w:rPr>
    </w:pPr>
    <w:r w:rsidRPr="002E015F">
      <w:rPr>
        <w:b/>
      </w:rPr>
      <w:t xml:space="preserve">Docket No. </w:t>
    </w:r>
    <w:r w:rsidR="0013404A">
      <w:rPr>
        <w:b/>
      </w:rPr>
      <w:t>5</w:t>
    </w:r>
    <w:r w:rsidR="0030079C">
      <w:rPr>
        <w:b/>
      </w:rPr>
      <w:t>5</w:t>
    </w:r>
    <w:r w:rsidR="00716686">
      <w:rPr>
        <w:b/>
      </w:rPr>
      <w:t>3</w:t>
    </w:r>
    <w:r w:rsidR="002111FC">
      <w:rPr>
        <w:b/>
      </w:rPr>
      <w:t>36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59D4"/>
    <w:rsid w:val="000327FB"/>
    <w:rsid w:val="0003401C"/>
    <w:rsid w:val="00055843"/>
    <w:rsid w:val="00070294"/>
    <w:rsid w:val="00072971"/>
    <w:rsid w:val="0009457B"/>
    <w:rsid w:val="00096E14"/>
    <w:rsid w:val="000A5DBB"/>
    <w:rsid w:val="000C0708"/>
    <w:rsid w:val="000D4E7E"/>
    <w:rsid w:val="000F255A"/>
    <w:rsid w:val="00102067"/>
    <w:rsid w:val="001057E1"/>
    <w:rsid w:val="001102DB"/>
    <w:rsid w:val="0013261C"/>
    <w:rsid w:val="00133D92"/>
    <w:rsid w:val="0013404A"/>
    <w:rsid w:val="00147CE5"/>
    <w:rsid w:val="00160604"/>
    <w:rsid w:val="00167502"/>
    <w:rsid w:val="00171624"/>
    <w:rsid w:val="00195A3A"/>
    <w:rsid w:val="001B64E2"/>
    <w:rsid w:val="001C31E7"/>
    <w:rsid w:val="002111FC"/>
    <w:rsid w:val="00212FD5"/>
    <w:rsid w:val="002149AE"/>
    <w:rsid w:val="0021713F"/>
    <w:rsid w:val="00256BA8"/>
    <w:rsid w:val="00261BF5"/>
    <w:rsid w:val="00284379"/>
    <w:rsid w:val="002B55D4"/>
    <w:rsid w:val="002E61A4"/>
    <w:rsid w:val="0030079C"/>
    <w:rsid w:val="00305165"/>
    <w:rsid w:val="00323A7A"/>
    <w:rsid w:val="003271FD"/>
    <w:rsid w:val="00351057"/>
    <w:rsid w:val="00363697"/>
    <w:rsid w:val="00372923"/>
    <w:rsid w:val="00376E5F"/>
    <w:rsid w:val="0037770F"/>
    <w:rsid w:val="003829B2"/>
    <w:rsid w:val="00396240"/>
    <w:rsid w:val="003A29E8"/>
    <w:rsid w:val="003B7AA6"/>
    <w:rsid w:val="003C1F2C"/>
    <w:rsid w:val="003C5133"/>
    <w:rsid w:val="003E3FA5"/>
    <w:rsid w:val="00400321"/>
    <w:rsid w:val="004037C0"/>
    <w:rsid w:val="004412BD"/>
    <w:rsid w:val="0044567F"/>
    <w:rsid w:val="00446D9B"/>
    <w:rsid w:val="00456C19"/>
    <w:rsid w:val="00464080"/>
    <w:rsid w:val="00486209"/>
    <w:rsid w:val="004937E2"/>
    <w:rsid w:val="004A3CCC"/>
    <w:rsid w:val="004F0C80"/>
    <w:rsid w:val="00512787"/>
    <w:rsid w:val="0051453E"/>
    <w:rsid w:val="00533AB6"/>
    <w:rsid w:val="00546CF9"/>
    <w:rsid w:val="005525A1"/>
    <w:rsid w:val="00563153"/>
    <w:rsid w:val="00592BB5"/>
    <w:rsid w:val="005C50C8"/>
    <w:rsid w:val="005E14A2"/>
    <w:rsid w:val="005E707D"/>
    <w:rsid w:val="00616ACA"/>
    <w:rsid w:val="0063274E"/>
    <w:rsid w:val="0063356C"/>
    <w:rsid w:val="00635BC4"/>
    <w:rsid w:val="00636D72"/>
    <w:rsid w:val="00660C9F"/>
    <w:rsid w:val="00670AB4"/>
    <w:rsid w:val="006724DB"/>
    <w:rsid w:val="006A6113"/>
    <w:rsid w:val="006B6D0E"/>
    <w:rsid w:val="006C4DD9"/>
    <w:rsid w:val="006C5642"/>
    <w:rsid w:val="006E2F66"/>
    <w:rsid w:val="006F5466"/>
    <w:rsid w:val="00706C0E"/>
    <w:rsid w:val="00716686"/>
    <w:rsid w:val="00725280"/>
    <w:rsid w:val="00734218"/>
    <w:rsid w:val="00736244"/>
    <w:rsid w:val="007513FD"/>
    <w:rsid w:val="007700A2"/>
    <w:rsid w:val="00776998"/>
    <w:rsid w:val="00792257"/>
    <w:rsid w:val="007B27A2"/>
    <w:rsid w:val="007C0FAE"/>
    <w:rsid w:val="007D0A6F"/>
    <w:rsid w:val="0084032E"/>
    <w:rsid w:val="00852F19"/>
    <w:rsid w:val="00873024"/>
    <w:rsid w:val="008909B4"/>
    <w:rsid w:val="00891293"/>
    <w:rsid w:val="0089594F"/>
    <w:rsid w:val="008969B5"/>
    <w:rsid w:val="008C23CD"/>
    <w:rsid w:val="008D2981"/>
    <w:rsid w:val="00902CAA"/>
    <w:rsid w:val="00913EC1"/>
    <w:rsid w:val="00924270"/>
    <w:rsid w:val="00934494"/>
    <w:rsid w:val="00934536"/>
    <w:rsid w:val="00961A50"/>
    <w:rsid w:val="00973928"/>
    <w:rsid w:val="009935E4"/>
    <w:rsid w:val="009A4BFE"/>
    <w:rsid w:val="009F76FC"/>
    <w:rsid w:val="00A173E8"/>
    <w:rsid w:val="00A42084"/>
    <w:rsid w:val="00A478B7"/>
    <w:rsid w:val="00A824DD"/>
    <w:rsid w:val="00A834F3"/>
    <w:rsid w:val="00AB7A9C"/>
    <w:rsid w:val="00AD22AF"/>
    <w:rsid w:val="00AE4987"/>
    <w:rsid w:val="00B52332"/>
    <w:rsid w:val="00B6361C"/>
    <w:rsid w:val="00B702A5"/>
    <w:rsid w:val="00B74DE4"/>
    <w:rsid w:val="00BA5465"/>
    <w:rsid w:val="00BB1952"/>
    <w:rsid w:val="00BE49FD"/>
    <w:rsid w:val="00BE5B9A"/>
    <w:rsid w:val="00BF176F"/>
    <w:rsid w:val="00C011C1"/>
    <w:rsid w:val="00C0242A"/>
    <w:rsid w:val="00C02F12"/>
    <w:rsid w:val="00C15A5A"/>
    <w:rsid w:val="00C64F1A"/>
    <w:rsid w:val="00C74679"/>
    <w:rsid w:val="00CB0807"/>
    <w:rsid w:val="00CC6F52"/>
    <w:rsid w:val="00CD7B86"/>
    <w:rsid w:val="00CE7231"/>
    <w:rsid w:val="00D52DC0"/>
    <w:rsid w:val="00D5377A"/>
    <w:rsid w:val="00D73FFD"/>
    <w:rsid w:val="00D8634C"/>
    <w:rsid w:val="00D9105A"/>
    <w:rsid w:val="00DA3026"/>
    <w:rsid w:val="00E054DD"/>
    <w:rsid w:val="00E159C7"/>
    <w:rsid w:val="00E33443"/>
    <w:rsid w:val="00E654EC"/>
    <w:rsid w:val="00EA7C79"/>
    <w:rsid w:val="00EC0E4D"/>
    <w:rsid w:val="00EE483E"/>
    <w:rsid w:val="00EE489A"/>
    <w:rsid w:val="00EF2CA2"/>
    <w:rsid w:val="00EF7158"/>
    <w:rsid w:val="00F21E89"/>
    <w:rsid w:val="00F247B3"/>
    <w:rsid w:val="00F400E3"/>
    <w:rsid w:val="00F50608"/>
    <w:rsid w:val="00F529A7"/>
    <w:rsid w:val="00F554E5"/>
    <w:rsid w:val="00F65A84"/>
    <w:rsid w:val="00F81C5D"/>
    <w:rsid w:val="00FA6C2A"/>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261B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DF2EC-6F7F-4CBD-9A79-68F5F579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2024-04-01T16:54:00Z</dcterms:created>
  <dcterms:modified xsi:type="dcterms:W3CDTF">2024-04-01T16:54:00Z</dcterms:modified>
</cp:coreProperties>
</file>